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Pr="00DF2245" w:rsidRDefault="00B820ED" w:rsidP="00B820ED">
      <w:pPr>
        <w:rPr>
          <w:rFonts w:asciiTheme="majorHAnsi" w:hAnsiTheme="majorHAnsi"/>
          <w:i/>
          <w:color w:val="002060"/>
          <w:sz w:val="28"/>
          <w:szCs w:val="28"/>
          <w:lang w:val="uk-UA"/>
        </w:rPr>
      </w:pPr>
      <w:r w:rsidRPr="00DF2245">
        <w:rPr>
          <w:rFonts w:asciiTheme="majorHAnsi" w:hAnsiTheme="majorHAnsi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97805A" wp14:editId="6423BB7C">
            <wp:simplePos x="0" y="0"/>
            <wp:positionH relativeFrom="column">
              <wp:posOffset>3063875</wp:posOffset>
            </wp:positionH>
            <wp:positionV relativeFrom="paragraph">
              <wp:posOffset>110490</wp:posOffset>
            </wp:positionV>
            <wp:extent cx="2857500" cy="815340"/>
            <wp:effectExtent l="0" t="0" r="0" b="381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4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9DC71A1" wp14:editId="29000D19">
            <wp:extent cx="1387662" cy="868680"/>
            <wp:effectExtent l="0" t="0" r="3175" b="762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0" cy="8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Pr="00DF2245" w:rsidRDefault="00B820ED" w:rsidP="00EF632B">
      <w:pPr>
        <w:jc w:val="right"/>
        <w:rPr>
          <w:rFonts w:asciiTheme="majorHAnsi" w:hAnsiTheme="majorHAnsi"/>
          <w:i/>
          <w:color w:val="002060"/>
          <w:sz w:val="28"/>
          <w:szCs w:val="28"/>
          <w:lang w:val="uk-UA"/>
        </w:rPr>
      </w:pPr>
      <w:bookmarkStart w:id="0" w:name="_GoBack"/>
      <w:bookmarkEnd w:id="0"/>
    </w:p>
    <w:p w:rsidR="00D92666" w:rsidRPr="00DF2245" w:rsidRDefault="00D92666" w:rsidP="00EF632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F2245">
        <w:rPr>
          <w:rFonts w:asciiTheme="majorHAnsi" w:hAnsiTheme="majorHAnsi"/>
          <w:b/>
          <w:sz w:val="28"/>
          <w:szCs w:val="28"/>
          <w:lang w:val="en-US"/>
        </w:rPr>
        <w:t xml:space="preserve">REPORT </w:t>
      </w:r>
    </w:p>
    <w:p w:rsidR="00E82C55" w:rsidRDefault="00D92666" w:rsidP="00E82C55">
      <w:pPr>
        <w:spacing w:after="120"/>
        <w:jc w:val="center"/>
        <w:rPr>
          <w:rFonts w:ascii="Tahoma" w:hAnsi="Tahoma" w:cs="Tahoma"/>
          <w:b/>
          <w:bCs/>
          <w:color w:val="222222"/>
          <w:sz w:val="24"/>
          <w:szCs w:val="20"/>
          <w:shd w:val="clear" w:color="auto" w:fill="FFFFFF"/>
          <w:lang w:val="en-GB"/>
        </w:rPr>
      </w:pPr>
      <w:proofErr w:type="gramStart"/>
      <w:r w:rsidRPr="00DF2245">
        <w:rPr>
          <w:rFonts w:asciiTheme="majorHAnsi" w:hAnsiTheme="majorHAnsi"/>
          <w:b/>
          <w:sz w:val="28"/>
          <w:szCs w:val="28"/>
          <w:lang w:val="en-US"/>
        </w:rPr>
        <w:t>on</w:t>
      </w:r>
      <w:proofErr w:type="gramEnd"/>
      <w:r w:rsidRPr="00DF2245">
        <w:rPr>
          <w:rFonts w:asciiTheme="majorHAnsi" w:hAnsiTheme="majorHAnsi"/>
          <w:b/>
          <w:sz w:val="28"/>
          <w:szCs w:val="28"/>
          <w:lang w:val="en-US"/>
        </w:rPr>
        <w:t xml:space="preserve"> the </w:t>
      </w:r>
      <w:r w:rsidR="00E82C55">
        <w:rPr>
          <w:rFonts w:ascii="Tahoma" w:hAnsi="Tahoma" w:cs="Tahoma"/>
          <w:b/>
          <w:bCs/>
          <w:color w:val="222222"/>
          <w:sz w:val="24"/>
          <w:szCs w:val="20"/>
          <w:shd w:val="clear" w:color="auto" w:fill="FFFFFF"/>
          <w:lang w:val="en-GB"/>
        </w:rPr>
        <w:t>Conference</w:t>
      </w:r>
    </w:p>
    <w:p w:rsidR="00E82C55" w:rsidRPr="00B6352E" w:rsidRDefault="00E82C55" w:rsidP="00E82C55">
      <w:pPr>
        <w:spacing w:after="120"/>
        <w:jc w:val="center"/>
        <w:rPr>
          <w:i/>
          <w:sz w:val="32"/>
          <w:szCs w:val="32"/>
          <w:lang w:val="en-GB"/>
        </w:rPr>
      </w:pPr>
      <w:r w:rsidRPr="00B6352E">
        <w:rPr>
          <w:b/>
          <w:sz w:val="32"/>
          <w:szCs w:val="32"/>
          <w:lang w:val="en-US"/>
        </w:rPr>
        <w:t xml:space="preserve">“XV </w:t>
      </w:r>
      <w:r w:rsidRPr="00B6352E">
        <w:rPr>
          <w:b/>
          <w:color w:val="000000"/>
          <w:sz w:val="32"/>
          <w:szCs w:val="32"/>
          <w:lang w:val="en-US"/>
        </w:rPr>
        <w:t xml:space="preserve">All-Ukrainian scientific </w:t>
      </w:r>
      <w:proofErr w:type="spellStart"/>
      <w:r w:rsidRPr="00B6352E">
        <w:rPr>
          <w:b/>
          <w:color w:val="000000"/>
          <w:sz w:val="32"/>
          <w:szCs w:val="32"/>
          <w:lang w:val="en-GB"/>
        </w:rPr>
        <w:t>Talliiv’s</w:t>
      </w:r>
      <w:proofErr w:type="spellEnd"/>
      <w:r w:rsidRPr="00B6352E">
        <w:rPr>
          <w:b/>
          <w:color w:val="000000"/>
          <w:sz w:val="32"/>
          <w:szCs w:val="32"/>
          <w:lang w:val="en-GB"/>
        </w:rPr>
        <w:t xml:space="preserve"> </w:t>
      </w:r>
      <w:proofErr w:type="gramStart"/>
      <w:r w:rsidRPr="00B6352E">
        <w:rPr>
          <w:b/>
          <w:color w:val="000000"/>
          <w:sz w:val="32"/>
          <w:szCs w:val="32"/>
          <w:lang w:val="en-GB"/>
        </w:rPr>
        <w:t>reading’s</w:t>
      </w:r>
      <w:proofErr w:type="gramEnd"/>
      <w:r w:rsidRPr="00B6352E">
        <w:rPr>
          <w:b/>
          <w:color w:val="000000"/>
          <w:sz w:val="32"/>
          <w:szCs w:val="32"/>
          <w:lang w:val="en-US"/>
        </w:rPr>
        <w:t>”</w:t>
      </w:r>
    </w:p>
    <w:p w:rsidR="00DF2245" w:rsidRPr="00E82C55" w:rsidRDefault="00DF2245" w:rsidP="00E82C55">
      <w:pPr>
        <w:tabs>
          <w:tab w:val="center" w:pos="4677"/>
          <w:tab w:val="left" w:pos="6210"/>
        </w:tabs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E82C55" w:rsidRPr="00E82C55" w:rsidRDefault="00D92666" w:rsidP="00E82C55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Date: </w:t>
      </w:r>
      <w:r w:rsidR="00E82C55" w:rsidRPr="00E82C5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30 October, 2019</w:t>
      </w:r>
    </w:p>
    <w:p w:rsidR="00D92666" w:rsidRPr="00DF2245" w:rsidRDefault="00DF2245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Agenda is attached</w:t>
      </w:r>
    </w:p>
    <w:p w:rsidR="00DF2245" w:rsidRDefault="000A3D6A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Number of abstracts</w:t>
      </w:r>
      <w:r w:rsid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: </w:t>
      </w:r>
      <w:r w:rsidR="00D4715C" w:rsidRPr="00D4715C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49</w:t>
      </w:r>
      <w:r w:rsid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(proceedings are attached)</w:t>
      </w:r>
    </w:p>
    <w:p w:rsidR="00D92666" w:rsidRPr="00DF2245" w:rsidRDefault="00DF2245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Number of </w:t>
      </w:r>
      <w:r w:rsidR="00D92666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participants: </w:t>
      </w:r>
      <w:r w:rsidR="00D4715C" w:rsidRPr="00D4715C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89, including attended </w:t>
      </w:r>
      <w:r w:rsidR="00E82C5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23</w:t>
      </w:r>
      <w:r w:rsidR="00D92666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(registration list is attached)</w:t>
      </w:r>
    </w:p>
    <w:p w:rsidR="00D92666" w:rsidRPr="00DF2245" w:rsidRDefault="00D92666" w:rsidP="00D9266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D92666" w:rsidRPr="00D4715C" w:rsidRDefault="00D4715C" w:rsidP="00D92666">
      <w:pPr>
        <w:jc w:val="both"/>
        <w:rPr>
          <w:rFonts w:asciiTheme="majorHAnsi" w:hAnsiTheme="majorHAnsi"/>
          <w:sz w:val="28"/>
          <w:szCs w:val="28"/>
          <w:lang w:val="en-GB"/>
        </w:rPr>
      </w:pPr>
      <w:r w:rsidRPr="00D4715C">
        <w:rPr>
          <w:rFonts w:asciiTheme="majorHAnsi" w:hAnsiTheme="majorHAnsi"/>
          <w:b/>
          <w:sz w:val="28"/>
          <w:szCs w:val="28"/>
          <w:lang w:val="en-GB"/>
        </w:rPr>
        <w:t xml:space="preserve">The aim of the conference </w:t>
      </w:r>
      <w:r w:rsidRPr="00D4715C">
        <w:rPr>
          <w:rFonts w:asciiTheme="majorHAnsi" w:hAnsiTheme="majorHAnsi"/>
          <w:sz w:val="28"/>
          <w:szCs w:val="28"/>
          <w:lang w:val="en-GB"/>
        </w:rPr>
        <w:t>is sharing experience and scientific knowledge of problems of the protected areas well as discussion of urgent issues on environmental protection.</w:t>
      </w:r>
    </w:p>
    <w:p w:rsidR="002A3CB3" w:rsidRPr="002A3CB3" w:rsidRDefault="002A3CB3" w:rsidP="002A3CB3">
      <w:pPr>
        <w:tabs>
          <w:tab w:val="left" w:pos="709"/>
        </w:tabs>
        <w:spacing w:before="160" w:line="360" w:lineRule="auto"/>
        <w:ind w:left="705" w:hanging="705"/>
        <w:jc w:val="both"/>
        <w:rPr>
          <w:rFonts w:asciiTheme="majorHAnsi" w:hAnsiTheme="majorHAnsi"/>
          <w:sz w:val="28"/>
          <w:szCs w:val="28"/>
          <w:lang w:val="en-US"/>
        </w:rPr>
      </w:pPr>
      <w:r w:rsidRPr="002A3CB3">
        <w:rPr>
          <w:rFonts w:asciiTheme="majorHAnsi" w:hAnsiTheme="majorHAnsi"/>
          <w:b/>
          <w:sz w:val="28"/>
          <w:szCs w:val="28"/>
          <w:lang w:val="en-US"/>
        </w:rPr>
        <w:t>Target groups</w:t>
      </w:r>
      <w:r w:rsidRPr="002A3CB3">
        <w:rPr>
          <w:rFonts w:asciiTheme="majorHAnsi" w:hAnsiTheme="majorHAnsi"/>
          <w:sz w:val="28"/>
          <w:szCs w:val="28"/>
          <w:lang w:val="en-US"/>
        </w:rPr>
        <w:t xml:space="preserve"> are scientists, teachers, students who study conservation areas and participate in international cooperation for environmental protection in the Project of International </w:t>
      </w:r>
      <w:proofErr w:type="spellStart"/>
      <w:r w:rsidRPr="002A3CB3">
        <w:rPr>
          <w:rFonts w:asciiTheme="majorHAnsi" w:hAnsiTheme="majorHAnsi"/>
          <w:sz w:val="28"/>
          <w:szCs w:val="28"/>
          <w:lang w:val="en-US"/>
        </w:rPr>
        <w:t>Visegrad</w:t>
      </w:r>
      <w:proofErr w:type="spellEnd"/>
      <w:r w:rsidRPr="002A3CB3">
        <w:rPr>
          <w:rFonts w:asciiTheme="majorHAnsi" w:hAnsiTheme="majorHAnsi"/>
          <w:sz w:val="28"/>
          <w:szCs w:val="28"/>
          <w:lang w:val="en-US"/>
        </w:rPr>
        <w:t xml:space="preserve"> Foundation, INTENSE project and INENCY project partners as well as wide scientific community.</w:t>
      </w:r>
    </w:p>
    <w:p w:rsidR="00D92666" w:rsidRPr="002A3CB3" w:rsidRDefault="00DF2245">
      <w:pPr>
        <w:rPr>
          <w:rFonts w:asciiTheme="majorHAnsi" w:hAnsiTheme="majorHAnsi"/>
          <w:b/>
          <w:sz w:val="28"/>
          <w:szCs w:val="28"/>
          <w:lang w:val="en-US"/>
        </w:rPr>
      </w:pPr>
      <w:r w:rsidRPr="002A3CB3">
        <w:rPr>
          <w:rFonts w:asciiTheme="majorHAnsi" w:hAnsiTheme="majorHAnsi"/>
          <w:b/>
          <w:sz w:val="28"/>
          <w:szCs w:val="28"/>
          <w:lang w:val="en-US"/>
        </w:rPr>
        <w:t xml:space="preserve">There were </w:t>
      </w:r>
      <w:r w:rsidR="00D562ED" w:rsidRPr="002A3CB3">
        <w:rPr>
          <w:rFonts w:asciiTheme="majorHAnsi" w:hAnsiTheme="majorHAnsi"/>
          <w:b/>
          <w:sz w:val="28"/>
          <w:szCs w:val="28"/>
          <w:lang w:val="en-US"/>
        </w:rPr>
        <w:t xml:space="preserve">following </w:t>
      </w:r>
      <w:r w:rsidRPr="002A3CB3">
        <w:rPr>
          <w:rFonts w:asciiTheme="majorHAnsi" w:hAnsiTheme="majorHAnsi"/>
          <w:b/>
          <w:sz w:val="28"/>
          <w:szCs w:val="28"/>
          <w:lang w:val="en-US"/>
        </w:rPr>
        <w:t>themes:</w:t>
      </w:r>
    </w:p>
    <w:p w:rsidR="002A3CB3" w:rsidRPr="002A3CB3" w:rsidRDefault="002A3CB3" w:rsidP="002A3CB3">
      <w:pPr>
        <w:pStyle w:val="a4"/>
        <w:spacing w:after="120"/>
        <w:ind w:left="0"/>
        <w:contextualSpacing w:val="0"/>
        <w:jc w:val="both"/>
        <w:rPr>
          <w:rFonts w:asciiTheme="majorHAnsi" w:hAnsiTheme="majorHAnsi"/>
          <w:sz w:val="28"/>
          <w:szCs w:val="28"/>
          <w:lang w:val="en-US"/>
        </w:rPr>
      </w:pPr>
      <w:r w:rsidRPr="002A3CB3">
        <w:rPr>
          <w:rFonts w:asciiTheme="majorHAnsi" w:hAnsiTheme="majorHAnsi"/>
          <w:sz w:val="28"/>
          <w:szCs w:val="28"/>
          <w:lang w:val="en-US"/>
        </w:rPr>
        <w:t>1. Modern problems of rational nature management and nature protection.</w:t>
      </w:r>
    </w:p>
    <w:p w:rsidR="002A3CB3" w:rsidRPr="002A3CB3" w:rsidRDefault="002A3CB3" w:rsidP="002A3CB3">
      <w:pPr>
        <w:pStyle w:val="a4"/>
        <w:spacing w:after="120"/>
        <w:ind w:left="0"/>
        <w:contextualSpacing w:val="0"/>
        <w:jc w:val="both"/>
        <w:rPr>
          <w:rFonts w:asciiTheme="majorHAnsi" w:hAnsiTheme="majorHAnsi"/>
          <w:sz w:val="28"/>
          <w:szCs w:val="28"/>
          <w:lang w:val="en-US"/>
        </w:rPr>
      </w:pPr>
      <w:r w:rsidRPr="002A3CB3">
        <w:rPr>
          <w:rFonts w:asciiTheme="majorHAnsi" w:hAnsiTheme="majorHAnsi"/>
          <w:sz w:val="28"/>
          <w:szCs w:val="28"/>
          <w:lang w:val="en-US"/>
        </w:rPr>
        <w:t>2. Assessment of the ecological condition of components and complexes of the environment.</w:t>
      </w:r>
    </w:p>
    <w:p w:rsidR="002A3CB3" w:rsidRPr="002A3CB3" w:rsidRDefault="002A3CB3" w:rsidP="002A3CB3">
      <w:pPr>
        <w:pStyle w:val="a4"/>
        <w:ind w:left="0"/>
        <w:jc w:val="both"/>
        <w:rPr>
          <w:rFonts w:asciiTheme="majorHAnsi" w:hAnsiTheme="majorHAnsi"/>
          <w:sz w:val="28"/>
          <w:szCs w:val="28"/>
          <w:lang w:val="en-US"/>
        </w:rPr>
      </w:pPr>
      <w:r w:rsidRPr="002A3CB3">
        <w:rPr>
          <w:rFonts w:asciiTheme="majorHAnsi" w:hAnsiTheme="majorHAnsi"/>
          <w:sz w:val="28"/>
          <w:szCs w:val="28"/>
          <w:lang w:val="en-US"/>
        </w:rPr>
        <w:t xml:space="preserve">3. Scientific and educational problems of protected areas in Ukraine. </w:t>
      </w:r>
      <w:proofErr w:type="gramStart"/>
      <w:r w:rsidRPr="002A3CB3">
        <w:rPr>
          <w:rFonts w:asciiTheme="majorHAnsi" w:hAnsiTheme="majorHAnsi"/>
          <w:sz w:val="28"/>
          <w:szCs w:val="28"/>
          <w:lang w:val="en-US"/>
        </w:rPr>
        <w:t>International cooperation for environmental protection.</w:t>
      </w:r>
      <w:proofErr w:type="gramEnd"/>
    </w:p>
    <w:p w:rsidR="00D92666" w:rsidRPr="00DF2245" w:rsidRDefault="00D92666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666" w:rsidTr="00D4715C">
        <w:trPr>
          <w:trHeight w:val="3534"/>
        </w:trPr>
        <w:tc>
          <w:tcPr>
            <w:tcW w:w="4785" w:type="dxa"/>
          </w:tcPr>
          <w:p w:rsidR="00D92666" w:rsidRDefault="00F70776">
            <w:pPr>
              <w:rPr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29D76E" wp14:editId="093A5C20">
                  <wp:extent cx="2928000" cy="2196000"/>
                  <wp:effectExtent l="0" t="0" r="5715" b="0"/>
                  <wp:docPr id="3" name="Рисунок 3" descr="http://ecology.karazin.ua/wp-content/uploads/2019/11/izobrazhenie_viber_2019-11-05_18-05-36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logy.karazin.ua/wp-content/uploads/2019/11/izobrazhenie_viber_2019-11-05_18-05-36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00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76" w:rsidRPr="00F70776" w:rsidRDefault="00F70776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92666" w:rsidRDefault="00F70776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ECDDD7" wp14:editId="00074D03">
                  <wp:extent cx="2928000" cy="2196000"/>
                  <wp:effectExtent l="0" t="0" r="5715" b="0"/>
                  <wp:docPr id="4" name="Рисунок 4" descr="http://ecology.karazin.ua/wp-content/uploads/2019/11/izobrazhenie_viber_2019-11-05_18-05-37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logy.karazin.ua/wp-content/uploads/2019/11/izobrazhenie_viber_2019-11-05_18-05-37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000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6" w:rsidTr="00D92666">
        <w:tc>
          <w:tcPr>
            <w:tcW w:w="4785" w:type="dxa"/>
          </w:tcPr>
          <w:p w:rsidR="00D92666" w:rsidRDefault="00F70776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4980" cy="2160000"/>
                  <wp:effectExtent l="0" t="0" r="0" b="0"/>
                  <wp:docPr id="5" name="Рисунок 5" descr="http://ecology.karazin.ua/wp-content/uploads/2019/11/izobrazhenie_viber_2019-11-05_20-00-00-800x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logy.karazin.ua/wp-content/uploads/2019/11/izobrazhenie_viber_2019-11-05_20-00-00-800x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8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776" w:rsidRPr="00F70776" w:rsidRDefault="00F70776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92666" w:rsidRDefault="00F70776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0000" cy="2160000"/>
                  <wp:effectExtent l="0" t="0" r="0" b="0"/>
                  <wp:docPr id="6" name="Рисунок 6" descr="http://ecomonitoring.karazin.ua/wp-content/uploads/2020/02/5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omonitoring.karazin.ua/wp-content/uploads/2020/02/5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9A3B5D" w:rsidRDefault="00D92666">
      <w:pPr>
        <w:rPr>
          <w:b/>
          <w:sz w:val="28"/>
          <w:lang w:val="en-US"/>
        </w:rPr>
      </w:pPr>
      <w:r w:rsidRPr="009A3B5D">
        <w:rPr>
          <w:b/>
          <w:sz w:val="28"/>
          <w:lang w:val="en-US"/>
        </w:rPr>
        <w:t>Conclusion</w:t>
      </w:r>
      <w:r w:rsidR="009A3B5D">
        <w:rPr>
          <w:b/>
          <w:sz w:val="28"/>
          <w:lang w:val="en-US"/>
        </w:rPr>
        <w:t>s</w:t>
      </w:r>
      <w:r w:rsidRPr="009A3B5D">
        <w:rPr>
          <w:b/>
          <w:sz w:val="28"/>
          <w:lang w:val="en-US"/>
        </w:rPr>
        <w:t>:</w:t>
      </w:r>
    </w:p>
    <w:p w:rsidR="000A3D6A" w:rsidRDefault="005F1C45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 w:rsidRPr="005F1C45">
        <w:rPr>
          <w:sz w:val="28"/>
          <w:lang w:val="en-US"/>
        </w:rPr>
        <w:t>All-Ukrainian scientific</w:t>
      </w:r>
      <w:r w:rsidR="000A3D6A">
        <w:rPr>
          <w:sz w:val="28"/>
          <w:lang w:val="en-US"/>
        </w:rPr>
        <w:t xml:space="preserve"> was very valuable for participants;</w:t>
      </w:r>
    </w:p>
    <w:p w:rsidR="00D92666" w:rsidRDefault="005F1C45" w:rsidP="005F1C45">
      <w:pPr>
        <w:pStyle w:val="a4"/>
        <w:numPr>
          <w:ilvl w:val="0"/>
          <w:numId w:val="2"/>
        </w:numPr>
        <w:rPr>
          <w:sz w:val="28"/>
          <w:lang w:val="en-US"/>
        </w:rPr>
      </w:pPr>
      <w:r w:rsidRPr="005F1C45">
        <w:rPr>
          <w:sz w:val="28"/>
          <w:lang w:val="en-US"/>
        </w:rPr>
        <w:t>Sharing of knowledge about modern problems of rational nature management and nature protection are very crucial in professional life of academic and scientific staff</w:t>
      </w:r>
      <w:r w:rsidR="000A3D6A">
        <w:rPr>
          <w:sz w:val="28"/>
          <w:lang w:val="en-US"/>
        </w:rPr>
        <w:t>;</w:t>
      </w:r>
    </w:p>
    <w:p w:rsidR="00D4715C" w:rsidRPr="00D4715C" w:rsidRDefault="005F1C45" w:rsidP="00D4715C">
      <w:pPr>
        <w:pStyle w:val="a4"/>
        <w:numPr>
          <w:ilvl w:val="0"/>
          <w:numId w:val="2"/>
        </w:numPr>
        <w:rPr>
          <w:sz w:val="28"/>
          <w:lang w:val="en-US"/>
        </w:rPr>
      </w:pPr>
      <w:r w:rsidRPr="00D4715C">
        <w:rPr>
          <w:sz w:val="28"/>
          <w:lang w:val="en-US"/>
        </w:rPr>
        <w:t xml:space="preserve">Scientific and educational problems of protected areas in Ukraine are very crucial for </w:t>
      </w:r>
      <w:r w:rsidR="00D4715C" w:rsidRPr="00D4715C">
        <w:rPr>
          <w:sz w:val="28"/>
          <w:lang w:val="en-US"/>
        </w:rPr>
        <w:t xml:space="preserve">science and education; </w:t>
      </w:r>
    </w:p>
    <w:p w:rsidR="000A3D6A" w:rsidRPr="00D4715C" w:rsidRDefault="005F1C45" w:rsidP="00D4715C">
      <w:pPr>
        <w:pStyle w:val="a4"/>
        <w:numPr>
          <w:ilvl w:val="0"/>
          <w:numId w:val="2"/>
        </w:numPr>
        <w:rPr>
          <w:sz w:val="28"/>
          <w:lang w:val="en-US"/>
        </w:rPr>
      </w:pPr>
      <w:r w:rsidRPr="00D4715C">
        <w:rPr>
          <w:sz w:val="28"/>
          <w:lang w:val="en-US"/>
        </w:rPr>
        <w:t>International cooperation for environmental protection will assure the introduction of best practices in the education process.</w:t>
      </w:r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2A3CB3" w:rsidRDefault="002A3CB3" w:rsidP="00EF632B">
      <w:pPr>
        <w:rPr>
          <w:lang w:val="en-US"/>
        </w:rPr>
      </w:pPr>
      <w:hyperlink r:id="rId12" w:history="1">
        <w:r w:rsidRPr="002A3CB3">
          <w:rPr>
            <w:rStyle w:val="a5"/>
            <w:lang w:val="en-US"/>
          </w:rPr>
          <w:t>http://ecology.karazin.ua/vidbulisja-xv-vseukrainski-naukovi-taliivski-chitannja/</w:t>
        </w:r>
      </w:hyperlink>
    </w:p>
    <w:p w:rsidR="002A3CB3" w:rsidRDefault="002A3CB3" w:rsidP="00EF632B">
      <w:pPr>
        <w:rPr>
          <w:lang w:val="en-US"/>
        </w:rPr>
      </w:pPr>
      <w:hyperlink r:id="rId13" w:history="1">
        <w:r w:rsidRPr="002A3CB3">
          <w:rPr>
            <w:rStyle w:val="a5"/>
            <w:lang w:val="en-US"/>
          </w:rPr>
          <w:t>http://ecomonitoring.karazin.ua/?p=2347</w:t>
        </w:r>
      </w:hyperlink>
    </w:p>
    <w:p w:rsidR="000A3D6A" w:rsidRPr="000A3D6A" w:rsidRDefault="000A3D6A" w:rsidP="00EF632B">
      <w:pPr>
        <w:rPr>
          <w:lang w:val="en-US"/>
        </w:rPr>
      </w:pPr>
      <w:r w:rsidRPr="000A3D6A">
        <w:rPr>
          <w:sz w:val="28"/>
          <w:lang w:val="en-US"/>
        </w:rPr>
        <w:t>Abstracts:</w:t>
      </w:r>
      <w:r>
        <w:rPr>
          <w:lang w:val="en-US"/>
        </w:rPr>
        <w:t xml:space="preserve"> </w:t>
      </w:r>
      <w:hyperlink r:id="rId14" w:history="1">
        <w:r w:rsidR="002A3CB3" w:rsidRPr="002A3CB3">
          <w:rPr>
            <w:rStyle w:val="a5"/>
            <w:lang w:val="en-US"/>
          </w:rPr>
          <w:t>http://ecology.karazin.ua/wp-content/uploads/2019/11/taliev-2019.pdf</w:t>
        </w:r>
      </w:hyperlink>
    </w:p>
    <w:sectPr w:rsidR="000A3D6A" w:rsidRPr="000A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82F"/>
    <w:multiLevelType w:val="hybridMultilevel"/>
    <w:tmpl w:val="22184700"/>
    <w:lvl w:ilvl="0" w:tplc="CD221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F2FC4"/>
    <w:multiLevelType w:val="hybridMultilevel"/>
    <w:tmpl w:val="4BFC8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70746C"/>
    <w:multiLevelType w:val="hybridMultilevel"/>
    <w:tmpl w:val="3EA6CD98"/>
    <w:lvl w:ilvl="0" w:tplc="CD221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1289D"/>
    <w:rsid w:val="000A3D6A"/>
    <w:rsid w:val="002A3CB3"/>
    <w:rsid w:val="00582833"/>
    <w:rsid w:val="005F1C45"/>
    <w:rsid w:val="007D38B6"/>
    <w:rsid w:val="00893D5E"/>
    <w:rsid w:val="008F71B2"/>
    <w:rsid w:val="00944E02"/>
    <w:rsid w:val="009A3B5D"/>
    <w:rsid w:val="00B820ED"/>
    <w:rsid w:val="00BE7A04"/>
    <w:rsid w:val="00CA720B"/>
    <w:rsid w:val="00D4715C"/>
    <w:rsid w:val="00D562ED"/>
    <w:rsid w:val="00D92666"/>
    <w:rsid w:val="00DC0887"/>
    <w:rsid w:val="00DF2245"/>
    <w:rsid w:val="00E82C55"/>
    <w:rsid w:val="00EF632B"/>
    <w:rsid w:val="00F70776"/>
    <w:rsid w:val="00FB403B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2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2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comonitoring.karazin.ua/?p=23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cology.karazin.ua/vidbulisja-xv-vseukrainski-naukovi-taliivski-chitannj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ecology.karazin.ua/wp-content/uploads/2019/11/taliev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monitoring</cp:lastModifiedBy>
  <cp:revision>4</cp:revision>
  <cp:lastPrinted>2019-11-22T12:32:00Z</cp:lastPrinted>
  <dcterms:created xsi:type="dcterms:W3CDTF">2020-07-01T11:01:00Z</dcterms:created>
  <dcterms:modified xsi:type="dcterms:W3CDTF">2020-07-01T12:11:00Z</dcterms:modified>
</cp:coreProperties>
</file>